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57" w:rsidRDefault="004318AC">
      <w:pPr>
        <w:spacing w:line="57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DB0F57" w:rsidRDefault="00DB0F57">
      <w:pPr>
        <w:spacing w:line="570" w:lineRule="exact"/>
        <w:rPr>
          <w:rFonts w:ascii="黑体" w:eastAsia="黑体" w:hAnsi="黑体" w:cs="黑体"/>
        </w:rPr>
      </w:pPr>
    </w:p>
    <w:p w:rsidR="00DB0F57" w:rsidRDefault="004318AC">
      <w:pPr>
        <w:spacing w:line="57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河北省初中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学业水平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物理、化学和生物学</w:t>
      </w:r>
    </w:p>
    <w:p w:rsidR="00DB0F57" w:rsidRDefault="004318AC">
      <w:pPr>
        <w:spacing w:line="57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实验操作考试方案</w:t>
      </w:r>
    </w:p>
    <w:p w:rsidR="00DB0F57" w:rsidRDefault="00DB0F57">
      <w:pPr>
        <w:autoSpaceDE w:val="0"/>
        <w:autoSpaceDN w:val="0"/>
        <w:adjustRightInd w:val="0"/>
        <w:ind w:firstLineChars="200" w:firstLine="632"/>
        <w:rPr>
          <w:rFonts w:ascii="仿宋" w:hAnsi="仿宋"/>
          <w:szCs w:val="32"/>
        </w:rPr>
      </w:pPr>
    </w:p>
    <w:p w:rsidR="00DB0F57" w:rsidRDefault="004318AC">
      <w:pPr>
        <w:autoSpaceDE w:val="0"/>
        <w:autoSpaceDN w:val="0"/>
        <w:adjustRightInd w:val="0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为落实义务教育物理、化学和生物学课程标准，推进我省实验教学改革，</w:t>
      </w:r>
      <w:r>
        <w:rPr>
          <w:rFonts w:ascii="仿宋" w:hAnsi="仿宋" w:hint="eastAsia"/>
          <w:szCs w:val="32"/>
        </w:rPr>
        <w:t>充分发挥实验操作考试导向作用，</w:t>
      </w:r>
      <w:r>
        <w:rPr>
          <w:rFonts w:ascii="仿宋" w:hAnsi="仿宋" w:hint="eastAsia"/>
          <w:szCs w:val="32"/>
        </w:rPr>
        <w:t>制定本方案。</w:t>
      </w:r>
    </w:p>
    <w:p w:rsidR="00DB0F57" w:rsidRDefault="004318AC">
      <w:pPr>
        <w:adjustRightInd w:val="0"/>
        <w:snapToGrid w:val="0"/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一、考试内容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物理、化学和生物学实验操作考试（</w:t>
      </w:r>
      <w:r>
        <w:rPr>
          <w:rFonts w:ascii="仿宋" w:hAnsi="仿宋" w:hint="eastAsia"/>
          <w:szCs w:val="32"/>
        </w:rPr>
        <w:t>以下简称“实验考试”</w:t>
      </w:r>
      <w:r>
        <w:rPr>
          <w:rFonts w:ascii="仿宋" w:hAnsi="仿宋" w:hint="eastAsia"/>
          <w:szCs w:val="32"/>
        </w:rPr>
        <w:t>）内容依据</w:t>
      </w:r>
      <w:r>
        <w:rPr>
          <w:rFonts w:ascii="仿宋" w:hAnsi="仿宋" w:hint="eastAsia"/>
          <w:szCs w:val="32"/>
        </w:rPr>
        <w:t>教育部</w:t>
      </w:r>
      <w:r>
        <w:rPr>
          <w:rFonts w:ascii="仿宋" w:hAnsi="仿宋" w:hint="eastAsia"/>
          <w:szCs w:val="32"/>
        </w:rPr>
        <w:t>义务教育</w:t>
      </w:r>
      <w:r>
        <w:rPr>
          <w:rFonts w:ascii="仿宋" w:hAnsi="仿宋" w:hint="eastAsia"/>
          <w:szCs w:val="32"/>
        </w:rPr>
        <w:t>有关</w:t>
      </w:r>
      <w:r>
        <w:rPr>
          <w:rFonts w:ascii="仿宋" w:hAnsi="仿宋" w:hint="eastAsia"/>
          <w:szCs w:val="32"/>
        </w:rPr>
        <w:t>学科课程标准和教材所要求的学生应掌握的实验操作技能，主要考查学生实验方案设计、仪器选择和组装、操作规范、现象观察、数据记录和处理</w:t>
      </w:r>
      <w:r>
        <w:rPr>
          <w:rFonts w:ascii="仿宋" w:hAnsi="仿宋" w:hint="eastAsia"/>
          <w:szCs w:val="32"/>
        </w:rPr>
        <w:t>、报告</w:t>
      </w:r>
      <w:r>
        <w:rPr>
          <w:rFonts w:ascii="仿宋" w:hAnsi="仿宋" w:hint="eastAsia"/>
          <w:szCs w:val="32"/>
        </w:rPr>
        <w:t>填写、过程分析和反思等技能，</w:t>
      </w:r>
      <w:r>
        <w:rPr>
          <w:rFonts w:ascii="仿宋" w:hAnsi="仿宋" w:hint="eastAsia"/>
          <w:szCs w:val="32"/>
        </w:rPr>
        <w:t>培养学生分析解决问题能力、实验操作能力和科学探究能力。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省教育技术中心组织专家以课程标准为基本依据，兼顾各版本教材的实验内容，建立省级实验考试题库，各市可从中抽取考试题目，也可参考省级题库自行命题</w:t>
      </w:r>
      <w:r>
        <w:rPr>
          <w:rFonts w:ascii="仿宋" w:hAnsi="仿宋" w:hint="eastAsia"/>
          <w:szCs w:val="32"/>
        </w:rPr>
        <w:t>。</w:t>
      </w:r>
    </w:p>
    <w:p w:rsidR="00DB0F57" w:rsidRDefault="004318AC">
      <w:pPr>
        <w:ind w:firstLineChars="200" w:firstLine="632"/>
        <w:rPr>
          <w:rFonts w:ascii="仿宋_GB2312" w:eastAsia="仿宋_GB2312" w:cs="仿宋_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二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、考试时间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按照“学完即考”的原则，生物学实验考试安排在八年级下</w:t>
      </w:r>
      <w:hyperlink r:id="rId8" w:tgtFrame="_blank" w:history="1">
        <w:r>
          <w:rPr>
            <w:rFonts w:ascii="仿宋" w:hAnsi="仿宋" w:hint="eastAsia"/>
            <w:szCs w:val="32"/>
          </w:rPr>
          <w:t>学期</w:t>
        </w:r>
      </w:hyperlink>
      <w:r>
        <w:rPr>
          <w:rFonts w:ascii="仿宋" w:hAnsi="仿宋" w:hint="eastAsia"/>
          <w:szCs w:val="32"/>
        </w:rPr>
        <w:t>，物理、化学实验考试安排在九年级下学期。各科实验考试时长为</w:t>
      </w:r>
      <w:r>
        <w:rPr>
          <w:rFonts w:ascii="仿宋" w:hAnsi="仿宋" w:hint="eastAsia"/>
          <w:szCs w:val="32"/>
        </w:rPr>
        <w:t>10</w:t>
      </w:r>
      <w:r>
        <w:rPr>
          <w:rFonts w:ascii="仿宋" w:hAnsi="仿宋" w:hint="eastAsia"/>
          <w:szCs w:val="32"/>
        </w:rPr>
        <w:t>分钟。</w:t>
      </w:r>
    </w:p>
    <w:p w:rsidR="00DB0F57" w:rsidRDefault="004318AC">
      <w:pPr>
        <w:ind w:firstLineChars="200" w:firstLine="632"/>
        <w:rPr>
          <w:rFonts w:ascii="CESI黑体-GB2312" w:eastAsia="CESI黑体-GB2312" w:hAnsi="CESI黑体-GB2312" w:cs="CESI黑体-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三、考试组织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省级教育行政部门</w:t>
      </w:r>
      <w:r>
        <w:rPr>
          <w:rFonts w:ascii="仿宋" w:hAnsi="仿宋" w:hint="eastAsia"/>
          <w:szCs w:val="32"/>
        </w:rPr>
        <w:t>加强对全省实验操作考试工作的指导和检查。各市设初中</w:t>
      </w:r>
      <w:r>
        <w:rPr>
          <w:rFonts w:ascii="仿宋" w:hAnsi="仿宋" w:hint="eastAsia"/>
          <w:szCs w:val="32"/>
        </w:rPr>
        <w:t>物理、化学和生物学实验操作</w:t>
      </w:r>
      <w:r>
        <w:rPr>
          <w:rFonts w:ascii="仿宋" w:hAnsi="仿宋" w:hint="eastAsia"/>
          <w:szCs w:val="32"/>
        </w:rPr>
        <w:t>考试办公室（以下简称“市实考办”），制定具体的</w:t>
      </w:r>
      <w:r>
        <w:rPr>
          <w:rFonts w:ascii="仿宋" w:hAnsi="仿宋" w:hint="eastAsia"/>
          <w:szCs w:val="32"/>
        </w:rPr>
        <w:t>实验</w:t>
      </w:r>
      <w:r>
        <w:rPr>
          <w:rFonts w:ascii="仿宋" w:hAnsi="仿宋" w:hint="eastAsia"/>
          <w:szCs w:val="32"/>
        </w:rPr>
        <w:t>考试实施细则，统筹组织本市实验考试。</w:t>
      </w:r>
    </w:p>
    <w:p w:rsidR="00DB0F57" w:rsidRDefault="004318AC">
      <w:pPr>
        <w:ind w:firstLineChars="200" w:firstLine="632"/>
        <w:rPr>
          <w:rFonts w:ascii="CESI黑体-GB2312" w:eastAsia="CESI黑体-GB2312" w:hAnsi="CESI黑体-GB2312" w:cs="CESI黑体-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四、成绩呈现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实验考试</w:t>
      </w:r>
      <w:r>
        <w:rPr>
          <w:rFonts w:ascii="仿宋" w:hAnsi="仿宋" w:cs="仿宋" w:hint="eastAsia"/>
          <w:szCs w:val="32"/>
        </w:rPr>
        <w:t>满分分值</w:t>
      </w:r>
      <w:r>
        <w:rPr>
          <w:rFonts w:ascii="仿宋" w:hAnsi="仿宋" w:hint="eastAsia"/>
          <w:szCs w:val="32"/>
        </w:rPr>
        <w:t>为</w:t>
      </w:r>
      <w:r>
        <w:rPr>
          <w:rFonts w:ascii="仿宋" w:hAnsi="仿宋" w:hint="eastAsia"/>
          <w:szCs w:val="32"/>
        </w:rPr>
        <w:t>20</w:t>
      </w:r>
      <w:r>
        <w:rPr>
          <w:rFonts w:ascii="仿宋" w:hAnsi="仿宋" w:hint="eastAsia"/>
          <w:szCs w:val="32"/>
        </w:rPr>
        <w:t>分，其中物理</w:t>
      </w:r>
      <w:r>
        <w:rPr>
          <w:rFonts w:ascii="仿宋" w:hAnsi="仿宋" w:hint="eastAsia"/>
          <w:szCs w:val="32"/>
        </w:rPr>
        <w:t>8</w:t>
      </w:r>
      <w:r>
        <w:rPr>
          <w:rFonts w:ascii="仿宋" w:hAnsi="仿宋" w:hint="eastAsia"/>
          <w:szCs w:val="32"/>
        </w:rPr>
        <w:t>分、化学</w:t>
      </w:r>
      <w:r>
        <w:rPr>
          <w:rFonts w:ascii="仿宋" w:hAnsi="仿宋" w:hint="eastAsia"/>
          <w:szCs w:val="32"/>
        </w:rPr>
        <w:t>6</w:t>
      </w:r>
      <w:r>
        <w:rPr>
          <w:rFonts w:ascii="仿宋" w:hAnsi="仿宋" w:hint="eastAsia"/>
          <w:szCs w:val="32"/>
        </w:rPr>
        <w:t>分、生物学</w:t>
      </w:r>
      <w:r>
        <w:rPr>
          <w:rFonts w:ascii="仿宋" w:hAnsi="仿宋" w:hint="eastAsia"/>
          <w:szCs w:val="32"/>
        </w:rPr>
        <w:t>6</w:t>
      </w:r>
      <w:r>
        <w:rPr>
          <w:rFonts w:ascii="仿宋" w:hAnsi="仿宋" w:hint="eastAsia"/>
          <w:szCs w:val="32"/>
        </w:rPr>
        <w:t>分。</w:t>
      </w:r>
    </w:p>
    <w:p w:rsidR="00DB0F57" w:rsidRDefault="004318AC">
      <w:pPr>
        <w:autoSpaceDE w:val="0"/>
        <w:autoSpaceDN w:val="0"/>
        <w:adjustRightInd w:val="0"/>
        <w:ind w:firstLineChars="200" w:firstLine="632"/>
        <w:jc w:val="left"/>
        <w:rPr>
          <w:rFonts w:ascii="CESI黑体-GB2312" w:eastAsia="CESI黑体-GB2312" w:hAnsi="CESI黑体-GB2312" w:cs="CESI黑体-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五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、考点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与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考场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要求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各县（市、区）教育行政部门根据考生分布，按照“相对集中、方便就近”的原则设置考点。考点应符合《河北省中小学实验室建设方案》和《河北省中小学教学仪器设备基本技术要求》规范。县（市、区）内各考点教学仪器、设备和药品须统一标准。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鼓励有条件的地区采用信息技术手段进行实验考试，加强对考试各环节的管控，确保过程平稳有序。采用电子抽签、考分登统的地区，要做好备份，确保考生信息和成绩准确可靠；采用电子评分的地区，要采取抽查、复查等多种措施，确保评分质量。</w:t>
      </w:r>
    </w:p>
    <w:p w:rsidR="00DB0F57" w:rsidRDefault="004318AC">
      <w:pPr>
        <w:autoSpaceDE w:val="0"/>
        <w:autoSpaceDN w:val="0"/>
        <w:adjustRightInd w:val="0"/>
        <w:ind w:firstLineChars="200" w:firstLine="632"/>
        <w:jc w:val="left"/>
        <w:rPr>
          <w:rFonts w:ascii="CESI黑体-GB2312" w:eastAsia="CESI黑体-GB2312" w:hAnsi="CESI黑体-GB2312" w:cs="CESI黑体-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六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、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免考缓考情况</w:t>
      </w:r>
    </w:p>
    <w:p w:rsidR="00DB0F57" w:rsidRDefault="004318AC">
      <w:pPr>
        <w:ind w:firstLineChars="200" w:firstLine="632"/>
        <w:rPr>
          <w:rFonts w:ascii="仿宋" w:hAnsi="仿宋"/>
          <w:szCs w:val="32"/>
        </w:rPr>
      </w:pPr>
      <w:r>
        <w:rPr>
          <w:rFonts w:ascii="楷体" w:eastAsia="楷体" w:hAnsi="楷体" w:cs="楷体" w:hint="eastAsia"/>
          <w:szCs w:val="32"/>
        </w:rPr>
        <w:t>（一）免考：</w:t>
      </w:r>
      <w:r>
        <w:rPr>
          <w:rFonts w:ascii="仿宋" w:hAnsi="仿宋" w:hint="eastAsia"/>
          <w:szCs w:val="32"/>
        </w:rPr>
        <w:t>因残疾丧失实验操作能力，或因伤病等特殊情况不能参加实验考试的考生，须持相关证明提出申请，经</w:t>
      </w:r>
      <w:r>
        <w:rPr>
          <w:rFonts w:ascii="仿宋" w:hAnsi="仿宋" w:hint="eastAsia"/>
          <w:szCs w:val="32"/>
        </w:rPr>
        <w:t>市实考办审核批准并公示后，可</w:t>
      </w:r>
      <w:r>
        <w:rPr>
          <w:rFonts w:ascii="仿宋" w:hAnsi="仿宋" w:hint="eastAsia"/>
          <w:szCs w:val="32"/>
        </w:rPr>
        <w:t>免考全部或部分科目。免考考生成绩由各市</w:t>
      </w:r>
      <w:r>
        <w:rPr>
          <w:rFonts w:ascii="仿宋" w:hAnsi="仿宋" w:hint="eastAsia"/>
          <w:szCs w:val="32"/>
        </w:rPr>
        <w:t>实考办</w:t>
      </w:r>
      <w:r>
        <w:rPr>
          <w:rFonts w:ascii="仿宋" w:hAnsi="仿宋" w:hint="eastAsia"/>
          <w:szCs w:val="32"/>
        </w:rPr>
        <w:t>确定。</w:t>
      </w:r>
    </w:p>
    <w:p w:rsidR="00DB0F57" w:rsidRDefault="004318AC">
      <w:pPr>
        <w:ind w:firstLineChars="200" w:firstLine="632"/>
      </w:pPr>
      <w:r>
        <w:rPr>
          <w:rFonts w:ascii="楷体" w:eastAsia="楷体" w:hAnsi="楷体" w:cs="楷体" w:hint="eastAsia"/>
          <w:szCs w:val="32"/>
        </w:rPr>
        <w:t>（二）缓考：</w:t>
      </w:r>
      <w:r>
        <w:rPr>
          <w:rFonts w:ascii="仿宋" w:hAnsi="仿宋" w:hint="eastAsia"/>
          <w:szCs w:val="32"/>
        </w:rPr>
        <w:t>因临时伤病或因事不能参加实验考试的考生，</w:t>
      </w:r>
      <w:r>
        <w:rPr>
          <w:rFonts w:ascii="仿宋" w:hAnsi="仿宋" w:hint="eastAsia"/>
          <w:szCs w:val="32"/>
        </w:rPr>
        <w:lastRenderedPageBreak/>
        <w:t>须</w:t>
      </w:r>
      <w:r>
        <w:rPr>
          <w:rFonts w:ascii="仿宋" w:hAnsi="仿宋" w:hint="eastAsia"/>
          <w:szCs w:val="32"/>
        </w:rPr>
        <w:t>持相关证明提出申请，经</w:t>
      </w:r>
      <w:r>
        <w:rPr>
          <w:rFonts w:ascii="仿宋" w:hAnsi="仿宋" w:hint="eastAsia"/>
          <w:szCs w:val="32"/>
        </w:rPr>
        <w:t>县（市、区）教育行政部门审核批准后，可予缓考。</w:t>
      </w:r>
      <w:r>
        <w:rPr>
          <w:rFonts w:ascii="仿宋" w:hAnsi="仿宋" w:hint="eastAsia"/>
          <w:szCs w:val="32"/>
        </w:rPr>
        <w:t>各</w:t>
      </w:r>
      <w:r>
        <w:rPr>
          <w:rFonts w:ascii="仿宋" w:hAnsi="仿宋" w:hint="eastAsia"/>
          <w:szCs w:val="32"/>
        </w:rPr>
        <w:t>县（市、区）</w:t>
      </w:r>
      <w:r>
        <w:rPr>
          <w:rFonts w:ascii="仿宋" w:hAnsi="仿宋" w:hint="eastAsia"/>
          <w:szCs w:val="32"/>
        </w:rPr>
        <w:t>教育行政部门</w:t>
      </w:r>
      <w:r>
        <w:rPr>
          <w:rFonts w:ascii="仿宋" w:hAnsi="仿宋" w:hint="eastAsia"/>
          <w:szCs w:val="32"/>
        </w:rPr>
        <w:t>要制定补考办法，组织集中补考。</w:t>
      </w:r>
    </w:p>
    <w:p w:rsidR="00DB0F57" w:rsidRDefault="004318AC">
      <w:pPr>
        <w:autoSpaceDE w:val="0"/>
        <w:autoSpaceDN w:val="0"/>
        <w:adjustRightInd w:val="0"/>
        <w:ind w:firstLineChars="200" w:firstLine="632"/>
        <w:jc w:val="left"/>
        <w:rPr>
          <w:rFonts w:ascii="CESI黑体-GB2312" w:eastAsia="CESI黑体-GB2312" w:hAnsi="CESI黑体-GB2312" w:cs="CESI黑体-GB2312"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kern w:val="0"/>
          <w:szCs w:val="32"/>
        </w:rPr>
        <w:t>七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、</w:t>
      </w:r>
      <w:r>
        <w:rPr>
          <w:rFonts w:ascii="CESI黑体-GB2312" w:eastAsia="CESI黑体-GB2312" w:hAnsi="CESI黑体-GB2312" w:cs="CESI黑体-GB2312" w:hint="eastAsia"/>
          <w:kern w:val="0"/>
          <w:szCs w:val="32"/>
        </w:rPr>
        <w:t>其他事项</w:t>
      </w:r>
    </w:p>
    <w:p w:rsidR="00DB0F57" w:rsidRDefault="004318AC">
      <w:pPr>
        <w:widowControl/>
        <w:ind w:firstLineChars="200" w:firstLine="632"/>
        <w:jc w:val="left"/>
        <w:rPr>
          <w:rFonts w:ascii="仿宋" w:hAnsi="仿宋" w:cs="仿宋"/>
          <w:kern w:val="0"/>
          <w:szCs w:val="32"/>
        </w:rPr>
      </w:pPr>
      <w:r>
        <w:rPr>
          <w:rFonts w:ascii="仿宋" w:hAnsi="仿宋" w:cs="仿宋" w:hint="eastAsia"/>
          <w:kern w:val="0"/>
          <w:szCs w:val="32"/>
        </w:rPr>
        <w:t>（一）各</w:t>
      </w:r>
      <w:r>
        <w:rPr>
          <w:rFonts w:ascii="仿宋" w:hAnsi="仿宋" w:cs="仿宋" w:hint="eastAsia"/>
          <w:kern w:val="0"/>
          <w:szCs w:val="32"/>
        </w:rPr>
        <w:t>市</w:t>
      </w:r>
      <w:r>
        <w:rPr>
          <w:rFonts w:ascii="仿宋" w:hAnsi="仿宋" w:cs="仿宋" w:hint="eastAsia"/>
          <w:kern w:val="0"/>
          <w:szCs w:val="32"/>
        </w:rPr>
        <w:t>要根据实际情况制定具体的实验考试实施细则，提前向社会公示。各级教育行政部门和</w:t>
      </w:r>
      <w:r>
        <w:rPr>
          <w:rFonts w:ascii="仿宋" w:hAnsi="仿宋" w:hint="eastAsia"/>
          <w:szCs w:val="32"/>
        </w:rPr>
        <w:t>实验</w:t>
      </w:r>
      <w:r>
        <w:rPr>
          <w:rFonts w:ascii="仿宋" w:hAnsi="仿宋" w:cs="仿宋" w:hint="eastAsia"/>
          <w:kern w:val="0"/>
          <w:szCs w:val="32"/>
        </w:rPr>
        <w:t>考试管理部门要对实验考试全程监督，并设立举报电话和举报邮箱，自觉接受社会监督，做到公开、公平、公正。</w:t>
      </w:r>
    </w:p>
    <w:p w:rsidR="00DB0F57" w:rsidRDefault="004318AC">
      <w:pPr>
        <w:widowControl/>
        <w:ind w:firstLineChars="200" w:firstLine="632"/>
        <w:jc w:val="left"/>
        <w:rPr>
          <w:rFonts w:ascii="仿宋" w:hAnsi="仿宋" w:cs="仿宋"/>
          <w:kern w:val="0"/>
          <w:szCs w:val="32"/>
        </w:rPr>
      </w:pPr>
      <w:r>
        <w:rPr>
          <w:rFonts w:ascii="仿宋" w:hAnsi="仿宋" w:cs="仿宋" w:hint="eastAsia"/>
          <w:kern w:val="0"/>
          <w:szCs w:val="32"/>
        </w:rPr>
        <w:t>（二）各级</w:t>
      </w:r>
      <w:r>
        <w:rPr>
          <w:rFonts w:ascii="仿宋" w:hAnsi="仿宋" w:cs="仿宋" w:hint="eastAsia"/>
          <w:kern w:val="0"/>
          <w:szCs w:val="32"/>
        </w:rPr>
        <w:t>教育</w:t>
      </w:r>
      <w:r>
        <w:rPr>
          <w:rFonts w:ascii="仿宋" w:hAnsi="仿宋" w:cs="仿宋" w:hint="eastAsia"/>
          <w:kern w:val="0"/>
          <w:szCs w:val="32"/>
        </w:rPr>
        <w:t>行政</w:t>
      </w:r>
      <w:r>
        <w:rPr>
          <w:rFonts w:ascii="仿宋" w:hAnsi="仿宋" w:cs="仿宋" w:hint="eastAsia"/>
          <w:kern w:val="0"/>
          <w:szCs w:val="32"/>
        </w:rPr>
        <w:t>部门</w:t>
      </w:r>
      <w:r>
        <w:rPr>
          <w:rFonts w:ascii="仿宋" w:hAnsi="仿宋" w:cs="仿宋" w:hint="eastAsia"/>
          <w:kern w:val="0"/>
          <w:szCs w:val="32"/>
        </w:rPr>
        <w:t>要强化安全意识，</w:t>
      </w:r>
      <w:r>
        <w:rPr>
          <w:rFonts w:ascii="仿宋" w:hAnsi="仿宋" w:cs="仿宋" w:hint="eastAsia"/>
          <w:kern w:val="0"/>
          <w:szCs w:val="32"/>
        </w:rPr>
        <w:t>做好隐患排查工作</w:t>
      </w:r>
      <w:r>
        <w:rPr>
          <w:rFonts w:ascii="仿宋" w:hAnsi="仿宋" w:cs="仿宋" w:hint="eastAsia"/>
          <w:kern w:val="0"/>
          <w:szCs w:val="32"/>
        </w:rPr>
        <w:t>。</w:t>
      </w:r>
      <w:r>
        <w:rPr>
          <w:rFonts w:ascii="仿宋" w:hAnsi="仿宋" w:cs="仿宋" w:hint="eastAsia"/>
          <w:kern w:val="0"/>
          <w:szCs w:val="32"/>
        </w:rPr>
        <w:t>针</w:t>
      </w:r>
      <w:r>
        <w:rPr>
          <w:rFonts w:ascii="仿宋" w:hAnsi="仿宋" w:cs="仿宋" w:hint="eastAsia"/>
          <w:kern w:val="0"/>
          <w:szCs w:val="32"/>
        </w:rPr>
        <w:t>对考试期间</w:t>
      </w:r>
      <w:r>
        <w:rPr>
          <w:rFonts w:ascii="仿宋" w:hAnsi="仿宋" w:cs="仿宋" w:hint="eastAsia"/>
          <w:kern w:val="0"/>
          <w:szCs w:val="32"/>
        </w:rPr>
        <w:t>疫情防控、</w:t>
      </w:r>
      <w:r>
        <w:rPr>
          <w:rFonts w:ascii="仿宋" w:hAnsi="仿宋" w:cs="仿宋" w:hint="eastAsia"/>
          <w:kern w:val="0"/>
          <w:szCs w:val="32"/>
        </w:rPr>
        <w:t>交通食宿、考场配电、易燃易爆和有毒药品的存放、管理和使用以及实验</w:t>
      </w:r>
      <w:r>
        <w:rPr>
          <w:rFonts w:ascii="仿宋" w:hAnsi="仿宋" w:cs="仿宋" w:hint="eastAsia"/>
          <w:kern w:val="0"/>
          <w:szCs w:val="32"/>
        </w:rPr>
        <w:t>考试</w:t>
      </w:r>
      <w:r>
        <w:rPr>
          <w:rFonts w:ascii="仿宋" w:hAnsi="仿宋" w:cs="仿宋" w:hint="eastAsia"/>
          <w:kern w:val="0"/>
          <w:szCs w:val="32"/>
        </w:rPr>
        <w:t>中不当操作的处置等方面制定应急预案，</w:t>
      </w:r>
      <w:r>
        <w:rPr>
          <w:rFonts w:ascii="仿宋" w:hAnsi="仿宋" w:cs="仿宋" w:hint="eastAsia"/>
          <w:kern w:val="0"/>
          <w:szCs w:val="32"/>
        </w:rPr>
        <w:t>确保</w:t>
      </w:r>
      <w:r>
        <w:rPr>
          <w:rFonts w:ascii="仿宋" w:hAnsi="仿宋" w:cs="仿宋" w:hint="eastAsia"/>
          <w:kern w:val="0"/>
          <w:szCs w:val="32"/>
        </w:rPr>
        <w:t>考生、监考教师和工作人员的安全。</w:t>
      </w:r>
    </w:p>
    <w:p w:rsidR="00DB0F57" w:rsidRDefault="004318AC">
      <w:pPr>
        <w:spacing w:line="570" w:lineRule="exact"/>
        <w:ind w:firstLineChars="200" w:firstLine="632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0"/>
          <w:szCs w:val="32"/>
        </w:rPr>
        <w:t>（三）</w:t>
      </w:r>
      <w:r>
        <w:rPr>
          <w:rFonts w:ascii="仿宋" w:hAnsi="仿宋" w:cs="仿宋" w:hint="eastAsia"/>
          <w:szCs w:val="32"/>
        </w:rPr>
        <w:t>本方案未尽事宜，各市教育行政部门可根据需要补充制定，报省教育厅同意后执行。在考试过程中产生的争议问题，由各市教育行政部门依据有关规定妥善处理。</w:t>
      </w:r>
    </w:p>
    <w:p w:rsidR="00DB0F57" w:rsidRDefault="004318AC" w:rsidP="009823AB">
      <w:pPr>
        <w:spacing w:line="570" w:lineRule="exact"/>
        <w:ind w:firstLineChars="200" w:firstLine="632"/>
        <w:rPr>
          <w:rFonts w:ascii="仿宋" w:hAnsi="仿宋" w:cs="仿宋"/>
        </w:rPr>
      </w:pPr>
      <w:r>
        <w:rPr>
          <w:rFonts w:ascii="仿宋" w:hAnsi="仿宋" w:cs="仿宋" w:hint="eastAsia"/>
          <w:szCs w:val="32"/>
        </w:rPr>
        <w:t>（四）</w:t>
      </w:r>
      <w:r>
        <w:rPr>
          <w:rFonts w:ascii="仿宋" w:hAnsi="仿宋" w:cs="仿宋" w:hint="eastAsia"/>
          <w:szCs w:val="32"/>
        </w:rPr>
        <w:t>本方案</w:t>
      </w:r>
      <w:r>
        <w:rPr>
          <w:rFonts w:ascii="仿宋" w:hAnsi="仿宋" w:cs="仿宋" w:hint="eastAsia"/>
          <w:szCs w:val="32"/>
        </w:rPr>
        <w:t>由</w:t>
      </w:r>
      <w:r>
        <w:rPr>
          <w:rFonts w:ascii="仿宋" w:hAnsi="仿宋" w:cs="仿宋" w:hint="eastAsia"/>
          <w:szCs w:val="32"/>
        </w:rPr>
        <w:t>河北省</w:t>
      </w:r>
      <w:r>
        <w:rPr>
          <w:rFonts w:ascii="仿宋" w:hAnsi="仿宋" w:cs="仿宋" w:hint="eastAsia"/>
          <w:szCs w:val="32"/>
        </w:rPr>
        <w:t>教育技术中心</w:t>
      </w:r>
      <w:r>
        <w:rPr>
          <w:rFonts w:ascii="仿宋" w:hAnsi="仿宋" w:cs="仿宋" w:hint="eastAsia"/>
          <w:szCs w:val="32"/>
        </w:rPr>
        <w:t>负责解释</w:t>
      </w:r>
      <w:r>
        <w:rPr>
          <w:rFonts w:ascii="仿宋" w:hAnsi="仿宋" w:cs="仿宋" w:hint="eastAsia"/>
          <w:szCs w:val="32"/>
        </w:rPr>
        <w:t>。</w:t>
      </w:r>
      <w:bookmarkStart w:id="0" w:name="_GoBack"/>
      <w:bookmarkEnd w:id="0"/>
    </w:p>
    <w:sectPr w:rsidR="00DB0F57">
      <w:footerReference w:type="even" r:id="rId9"/>
      <w:footerReference w:type="default" r:id="rId10"/>
      <w:pgSz w:w="11906" w:h="16838"/>
      <w:pgMar w:top="2098" w:right="1474" w:bottom="1984" w:left="1588" w:header="851" w:footer="1587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AC" w:rsidRDefault="004318AC">
      <w:r>
        <w:separator/>
      </w:r>
    </w:p>
  </w:endnote>
  <w:endnote w:type="continuationSeparator" w:id="0">
    <w:p w:rsidR="004318AC" w:rsidRDefault="0043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2312">
    <w:altName w:val="黑体"/>
    <w:charset w:val="00"/>
    <w:family w:val="auto"/>
    <w:pitch w:val="default"/>
    <w:sig w:usb0="00000000" w:usb1="00000000" w:usb2="00000012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57" w:rsidRDefault="004318AC">
    <w:pPr>
      <w:pStyle w:val="a5"/>
      <w:framePr w:wrap="around" w:vAnchor="text" w:hAnchor="margin" w:xAlign="outside" w:y="1"/>
      <w:rPr>
        <w:rStyle w:val="a8"/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8"/>
        <w:rFonts w:ascii="宋体" w:eastAsia="宋体" w:hAnsi="宋体" w:cs="宋体" w:hint="eastAsia"/>
        <w:sz w:val="28"/>
        <w:szCs w:val="28"/>
      </w:rPr>
      <w:instrText xml:space="preserve">PAGE 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9823AB">
      <w:rPr>
        <w:rStyle w:val="a8"/>
        <w:rFonts w:ascii="宋体" w:eastAsia="宋体" w:hAnsi="宋体" w:cs="宋体"/>
        <w:noProof/>
        <w:sz w:val="28"/>
        <w:szCs w:val="28"/>
      </w:rPr>
      <w:t>- 2 -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:rsidR="00DB0F57" w:rsidRDefault="00DB0F57">
    <w:pPr>
      <w:pStyle w:val="a5"/>
      <w:ind w:right="360" w:firstLine="360"/>
      <w:rPr>
        <w:kern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57" w:rsidRDefault="004318AC">
    <w:pPr>
      <w:pStyle w:val="a5"/>
      <w:framePr w:wrap="around" w:vAnchor="text" w:hAnchor="margin" w:xAlign="outside" w:y="1"/>
      <w:rPr>
        <w:rStyle w:val="a8"/>
        <w:sz w:val="30"/>
        <w:szCs w:val="30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8"/>
        <w:rFonts w:ascii="宋体" w:eastAsia="宋体" w:hAnsi="宋体" w:cs="宋体" w:hint="eastAsia"/>
        <w:sz w:val="28"/>
        <w:szCs w:val="28"/>
      </w:rPr>
      <w:instrText xml:space="preserve">PAGE 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9823AB">
      <w:rPr>
        <w:rStyle w:val="a8"/>
        <w:rFonts w:ascii="宋体" w:eastAsia="宋体" w:hAnsi="宋体" w:cs="宋体"/>
        <w:noProof/>
        <w:sz w:val="28"/>
        <w:szCs w:val="28"/>
      </w:rPr>
      <w:t>- 1 -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:rsidR="00DB0F57" w:rsidRDefault="00DB0F5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AC" w:rsidRDefault="004318AC">
      <w:r>
        <w:separator/>
      </w:r>
    </w:p>
  </w:footnote>
  <w:footnote w:type="continuationSeparator" w:id="0">
    <w:p w:rsidR="004318AC" w:rsidRDefault="0043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15C1"/>
    <w:rsid w:val="00053DD6"/>
    <w:rsid w:val="0006340F"/>
    <w:rsid w:val="0007089A"/>
    <w:rsid w:val="00085074"/>
    <w:rsid w:val="00097A04"/>
    <w:rsid w:val="000B169E"/>
    <w:rsid w:val="001115A0"/>
    <w:rsid w:val="00114062"/>
    <w:rsid w:val="00114BD3"/>
    <w:rsid w:val="00116AEB"/>
    <w:rsid w:val="00126BC1"/>
    <w:rsid w:val="001B61AD"/>
    <w:rsid w:val="001C2525"/>
    <w:rsid w:val="001E2E06"/>
    <w:rsid w:val="001F37D1"/>
    <w:rsid w:val="001F49C7"/>
    <w:rsid w:val="001F6301"/>
    <w:rsid w:val="00257BE3"/>
    <w:rsid w:val="00275203"/>
    <w:rsid w:val="002B1BB8"/>
    <w:rsid w:val="002F22F4"/>
    <w:rsid w:val="002F2F63"/>
    <w:rsid w:val="003078D0"/>
    <w:rsid w:val="00313CC8"/>
    <w:rsid w:val="003173C6"/>
    <w:rsid w:val="0033653D"/>
    <w:rsid w:val="0034219C"/>
    <w:rsid w:val="003528DE"/>
    <w:rsid w:val="00352CDE"/>
    <w:rsid w:val="0037472C"/>
    <w:rsid w:val="003A4ED2"/>
    <w:rsid w:val="003E4E5F"/>
    <w:rsid w:val="003F5D7D"/>
    <w:rsid w:val="0040177B"/>
    <w:rsid w:val="004318AC"/>
    <w:rsid w:val="004521B8"/>
    <w:rsid w:val="004940AA"/>
    <w:rsid w:val="004F1B7F"/>
    <w:rsid w:val="004F3BFB"/>
    <w:rsid w:val="00500A83"/>
    <w:rsid w:val="005230E6"/>
    <w:rsid w:val="005255A7"/>
    <w:rsid w:val="005604C6"/>
    <w:rsid w:val="00587762"/>
    <w:rsid w:val="005F1723"/>
    <w:rsid w:val="00611AF6"/>
    <w:rsid w:val="006F3296"/>
    <w:rsid w:val="006F684A"/>
    <w:rsid w:val="0070100A"/>
    <w:rsid w:val="00707F15"/>
    <w:rsid w:val="00723C52"/>
    <w:rsid w:val="00740024"/>
    <w:rsid w:val="007529DA"/>
    <w:rsid w:val="00757C9C"/>
    <w:rsid w:val="00765A83"/>
    <w:rsid w:val="00766FB0"/>
    <w:rsid w:val="007960C4"/>
    <w:rsid w:val="007A5A6B"/>
    <w:rsid w:val="007B334A"/>
    <w:rsid w:val="007B7E9B"/>
    <w:rsid w:val="007E3DB5"/>
    <w:rsid w:val="007F14EE"/>
    <w:rsid w:val="00831A3F"/>
    <w:rsid w:val="00855A93"/>
    <w:rsid w:val="00870AFF"/>
    <w:rsid w:val="008742D3"/>
    <w:rsid w:val="008A4639"/>
    <w:rsid w:val="008C636D"/>
    <w:rsid w:val="00953A62"/>
    <w:rsid w:val="00962481"/>
    <w:rsid w:val="00970DCF"/>
    <w:rsid w:val="00970EDC"/>
    <w:rsid w:val="009823AB"/>
    <w:rsid w:val="0099566A"/>
    <w:rsid w:val="009A2B1B"/>
    <w:rsid w:val="009B086D"/>
    <w:rsid w:val="009D21A1"/>
    <w:rsid w:val="009E5286"/>
    <w:rsid w:val="00A018CC"/>
    <w:rsid w:val="00A328C7"/>
    <w:rsid w:val="00A347A5"/>
    <w:rsid w:val="00A42E38"/>
    <w:rsid w:val="00A57155"/>
    <w:rsid w:val="00A86253"/>
    <w:rsid w:val="00AA05A2"/>
    <w:rsid w:val="00AC0809"/>
    <w:rsid w:val="00AE397E"/>
    <w:rsid w:val="00AF73C6"/>
    <w:rsid w:val="00B00A50"/>
    <w:rsid w:val="00B204FB"/>
    <w:rsid w:val="00B6437A"/>
    <w:rsid w:val="00BA6EAE"/>
    <w:rsid w:val="00BB5AC3"/>
    <w:rsid w:val="00BF66B0"/>
    <w:rsid w:val="00C064B0"/>
    <w:rsid w:val="00C15DE7"/>
    <w:rsid w:val="00C7487E"/>
    <w:rsid w:val="00C76916"/>
    <w:rsid w:val="00C923AE"/>
    <w:rsid w:val="00CC05C2"/>
    <w:rsid w:val="00CD5B6D"/>
    <w:rsid w:val="00D333E5"/>
    <w:rsid w:val="00D66160"/>
    <w:rsid w:val="00D86517"/>
    <w:rsid w:val="00DB0F57"/>
    <w:rsid w:val="00E31342"/>
    <w:rsid w:val="00E40E2C"/>
    <w:rsid w:val="00E44D53"/>
    <w:rsid w:val="00E6197D"/>
    <w:rsid w:val="00E640D7"/>
    <w:rsid w:val="00E8528B"/>
    <w:rsid w:val="00EA1B31"/>
    <w:rsid w:val="00EA77B1"/>
    <w:rsid w:val="00ED69BD"/>
    <w:rsid w:val="00F06E4B"/>
    <w:rsid w:val="00F3596D"/>
    <w:rsid w:val="00F4206F"/>
    <w:rsid w:val="00F45337"/>
    <w:rsid w:val="00F73564"/>
    <w:rsid w:val="00F743F7"/>
    <w:rsid w:val="00F749D0"/>
    <w:rsid w:val="00F763BB"/>
    <w:rsid w:val="00F90C5B"/>
    <w:rsid w:val="00FB2C3D"/>
    <w:rsid w:val="00FC4DBF"/>
    <w:rsid w:val="00FD7ABA"/>
    <w:rsid w:val="087639B8"/>
    <w:rsid w:val="097448E1"/>
    <w:rsid w:val="0CE42FAA"/>
    <w:rsid w:val="0ED108A9"/>
    <w:rsid w:val="13C6548F"/>
    <w:rsid w:val="23166F3D"/>
    <w:rsid w:val="240C0CE3"/>
    <w:rsid w:val="2C0577FC"/>
    <w:rsid w:val="2C92486E"/>
    <w:rsid w:val="2E065E98"/>
    <w:rsid w:val="2F872F73"/>
    <w:rsid w:val="30913FAE"/>
    <w:rsid w:val="314256A5"/>
    <w:rsid w:val="322421B2"/>
    <w:rsid w:val="350A3137"/>
    <w:rsid w:val="39DB7D81"/>
    <w:rsid w:val="44B54959"/>
    <w:rsid w:val="45DE15C3"/>
    <w:rsid w:val="46862F69"/>
    <w:rsid w:val="4A166709"/>
    <w:rsid w:val="4D232122"/>
    <w:rsid w:val="4ED75574"/>
    <w:rsid w:val="51B97D73"/>
    <w:rsid w:val="54850532"/>
    <w:rsid w:val="550A6AB8"/>
    <w:rsid w:val="557C6BEF"/>
    <w:rsid w:val="593615C1"/>
    <w:rsid w:val="5A6073A5"/>
    <w:rsid w:val="5AA463F3"/>
    <w:rsid w:val="61557CD1"/>
    <w:rsid w:val="61757411"/>
    <w:rsid w:val="644701E1"/>
    <w:rsid w:val="67894A59"/>
    <w:rsid w:val="6F885D99"/>
    <w:rsid w:val="77EA73D7"/>
    <w:rsid w:val="7B682BD7"/>
    <w:rsid w:val="7C1E66B7"/>
    <w:rsid w:val="7C6670D2"/>
    <w:rsid w:val="7EA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qFormat/>
    <w:pPr>
      <w:jc w:val="center"/>
    </w:pPr>
    <w:rPr>
      <w:rFonts w:ascii="宋体" w:hAnsi="宋体"/>
      <w:sz w:val="4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jc w:val="left"/>
    </w:pPr>
    <w:rPr>
      <w:rFonts w:eastAsia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qFormat/>
    <w:pPr>
      <w:jc w:val="center"/>
    </w:pPr>
    <w:rPr>
      <w:rFonts w:ascii="宋体" w:hAnsi="宋体"/>
      <w:sz w:val="4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jc w:val="left"/>
    </w:pPr>
    <w:rPr>
      <w:rFonts w:eastAsia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js.com/fanwenwang/Special/xinxueqidasu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19979;&#21457;&#25991;&#202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下发文件.wpt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Secrety</dc:title>
  <dc:creator>陈晓敏</dc:creator>
  <dc:description>createdate</dc:description>
  <cp:lastModifiedBy>Microsoft</cp:lastModifiedBy>
  <cp:revision>2</cp:revision>
  <cp:lastPrinted>2022-06-09T08:50:00Z</cp:lastPrinted>
  <dcterms:created xsi:type="dcterms:W3CDTF">2022-06-09T09:30:00Z</dcterms:created>
  <dcterms:modified xsi:type="dcterms:W3CDTF">2022-06-09T09:30:00Z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